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w:t>
      </w:r>
    </w:p>
    <w:p>
      <w:r>
        <w:t>Bundesgericht (BGE), 2006-01-05, DE</w:t>
      </w:r>
    </w:p>
    <w:p>
      <w:r>
        <w:rPr>
          <w:b/>
        </w:rPr>
        <w:t xml:space="preserve">Quelle: </w:t>
      </w:r>
      <w:r>
        <w:t>https://mcp.opencaselaw.ch/entscheid/bge_134 IV 1</w:t>
      </w:r>
    </w:p>
    <w:p>
      <w:r>
        <w:t>FR: ATF 134 IV 1</w:t>
      </w:r>
    </w:p>
    <w:p>
      <w:r>
        <w:t>IT: DTF 134 IV 1</w:t>
      </w:r>
    </w:p>
    <w:p>
      <w:pPr>
        <w:pStyle w:val="Heading2"/>
      </w:pPr>
      <w:r>
        <w:t>Regeste</w:t>
      </w:r>
    </w:p>
    <w:p>
      <w:r>
        <w:t>Regeste Bedingte und teilbedingte Strafe gemäss Art. 42 und 43 StGB; Strafenkombination gemäss Art. 42 Abs. 4 StGB. Bei Freiheitsstrafen zwischen einem und zwei Jahren ist der Strafaufschub nach Art. 42 Abs. 1 StGB die Regel, von der nur bei ungünstiger oder höchst ungewisser Prognose abgewichen werden darf (E. 4.2.2). Der teilbedingte Vollzug bildet dazu die Ausnahme. Vorgängig ist zu prüfen, ob der bedingte Strafvollzug, kombiniert mit einer Verbindungsgeldstrafe bzw. Busse (Art. 42 Abs. 4 StGB), spezialpräventiv ausreichend ist (E. 5.5.2). Bei der Strafenkombination gemäss Art. 42 Abs. 4 StGB liegt das Hauptgewicht auf der bedingten Freiheitsstrafe, während der unbedingten Verbindungsgeldstrafe bzw. Busse nur untergeordnete Bedeutung zukommt. Sie soll nicht zu einer Straferhöhung führen (E. 4.5.2). Die subjektiven Voraussetzungen von Art. 42 StGB müssen auch bei der Anwendung von Art. 43 StGB gelten (E. 5.3.1). Je günstiger die Prognose und je kleiner die Vorwerfbarkeit der Tat, desto grösser muss der auf Bewährung ausgesetzte Strafteil sein (E. 5.6).</w:t>
      </w:r>
    </w:p>
    <w:p>
      <w:pPr>
        <w:pStyle w:val="Heading2"/>
      </w:pPr>
      <w:r>
        <w:t>Erwägungen</w:t>
      </w:r>
    </w:p>
    <w:p>
      <w:r>
        <w:rPr>
          <w:b/>
        </w:rPr>
        <w:t>E. 2</w:t>
      </w:r>
    </w:p>
    <w:p>
      <w:r>
        <w:t>Die Beschwerdeführerin wendet sich ausschliesslich gegen die Strafzumessung.</w:t>
      </w:r>
    </w:p>
    <w:p>
      <w:r>
        <w:rPr>
          <w:b/>
        </w:rPr>
        <w:t>E. 2.1</w:t>
      </w:r>
    </w:p>
    <w:p>
      <w:r>
        <w:t>Die Vorinstanz hat erwogen, in Gesamtwürdigung der Tat- und Täterkomponenten sei von einem schweren Verschulden des Beschwerdegegners auszugehen. In Bestätigung des erstinstanzlichen Urteils erscheine deshalb - wenngleich am oberen Rand liegend - eine Freiheitsstrafe von zwei Jahren als grundsätzlich angemessen. Da beim Beschwerdegegner keine Anzeichen ersichtlich seien, welche die Vermutung der günstigen Prognose im Sinne von Art. 42 Abs. 1 StGB widerlegen würden, sei der bedingte Strafvollzug zu gewähren. Die alleinige Verhängung einer bedingten Freiheitsstrafe werde jedoch dem schweren Verschulden des Beschwerdegegners nicht gerecht. In Anbetracht aller wesentlichen Umstände des konkreten Falls, so insbesondere des fortgeschrittenen Alters (Jahrgang 1941) und der angeschlagenen Gesundheit des Beschwerdegegners, seines guten Leumunds und der fehlenden Rückfallgefahr, sei es sinnvoller, die bedingte Freiheitsstrafe gestützt auf Art. 42 Abs. 4 StGB mit einer unbedingten Geldstrafe zu verbinden, statt den Vollzug der Freiheitsstrafe gemäss Art. 43 StGB nur teilweise aufzuschieben. Dem schweren Verschulden des Beschwerdegegners BGE 134 IV 1 S. 4 entsprechend erscheine es geboten, einen Viertel der grundsätzlich als angemessen qualifizierten Freiheitsstrafe von zwei Jahren in die Form der unbedingten Geldstrafe zu kleiden. Im Ergebnis sei der Beschwerdegegner zu 18 Monaten Freiheitsstrafe, bedingt vollziehbar bei einer Probezeit von zwei Jahren, sowie zu einer Geldstrafe von 180 Tagessätzen à Fr. 130.- (insgesamt Fr. 23'400.-) zu verurteilen.</w:t>
      </w:r>
    </w:p>
    <w:p>
      <w:r>
        <w:rPr>
          <w:b/>
        </w:rPr>
        <w:t>E. 2.2</w:t>
      </w:r>
    </w:p>
    <w:p>
      <w:r>
        <w:t>Die Beschwerdeführerin macht geltend, die Aufteilung einer als angemessen erachteten Freiheitsstrafe von zwei Jahren in eine Geld- und Freiheitsstrafe verletze Bundesrecht. Art. 42 Abs. 4 StGB sei so auszulegen, dass eine Geldstrafe nur zusätzlich zu einer Freiheitsstrafe ausgesprochen werden könne. Eine Geldstrafe könne nicht Bestandteil der Freiheitsstrafe sein, da es sich um zwei unterschiedliche Sanktionsarten handle. Der Umrechnungsschlüssel von Art. 36 Abs. 1 Satz 2 StGB , wonach ein Tagessatz Geldstrafe einem Tag Freiheitsstrafe entspricht, könne nur dort gelten, wo die kurze Freiheitsstrafe nicht möglich sei, d.h. im Bagatellbereich. Der Gesetzgeber habe nicht die Absicht verfolgt, mehrjährige Freiheitsstrafen auch nur teilweise mit Geldstrafen zu ersetzen. Insbesondere könne es nicht dem Sinn und Zweck der Regelung entsprechen, mit der Geldstrafe gewissermassen den Strafrahmen der Freiheitsstrafe einzuschränken. Aufgrund des schweren Verschuldens des Beschwerdegegners sei vorliegend eine teilbedingte Strafe auszusprechen.</w:t>
      </w:r>
    </w:p>
    <w:p>
      <w:r>
        <w:rPr>
          <w:b/>
        </w:rPr>
        <w:t>E. 3</w:t>
      </w:r>
    </w:p>
    <w:p>
      <w:r>
        <w:t>Am 1. Januar 2007 ist die Revision des Allgemeinen Teils des Strafgesetzbuches in Kraft getreten. Sie brachte eine grundlegende Neuordnung des Sanktionensystems (Botschaft des Bundesrates zur Änderung des Schweizerischen Strafgesetzbuches vom 21. September 1998 [im Folgenden: Botschaft 1998]; BBl 1999 S. 1984). Zentrales Anliegen der Revision war das Zurückdrängen der kurzen Freiheitsstrafe, die Einführung alternativer Sanktionen wie der Geldstrafe oder der gemeinnützigen Arbeit als eigenständige Sanktionsform sowie die Ausdehnung des bedingten Strafvollzuges (Botschaft 1998, S. 2017 ff., 2024 ff., 2032 ff., 2048 ff.). Daneben wurde die sog. teilbedingte Strafe als Mittellösung zwischen dem vollständigen Aufschub der Strafe und deren Vollzug eingeführt.</w:t>
      </w:r>
    </w:p>
    <w:p>
      <w:r>
        <w:rPr>
          <w:b/>
        </w:rPr>
        <w:t>E. 4.1</w:t>
      </w:r>
    </w:p>
    <w:p>
      <w:r>
        <w:t>Art. 42 StGB ("bedingte Strafen") regelt die Gewährung des bedingten Strafvollzuges: Das Gericht schiebt den Vollzug einer Freiheitsstrafe von mindestens sechs Monaten und höchstens zwei BGE 134 IV 1 S. 5 Jahren in der Regel auf, wenn eine unbedingte Strafe nicht notwendig erscheint, um den Täter von der Begehung weiterer Verbrechen oder Vergehen abzuhalten ( Art. 42 Abs. 1 StGB ). Eine bedingte Strafe kann mit einer unbedingten Geldstrafe oder mit einer Busse nach Artikel 106 verbunden werden ( Art. 42 Abs. 4 StGB ).</w:t>
      </w:r>
    </w:p>
    <w:p>
      <w:r>
        <w:rPr>
          <w:b/>
        </w:rPr>
        <w:t>E. 4.2</w:t>
      </w:r>
    </w:p>
    <w:p>
      <w:r>
        <w:t>In subjektiver Hinsicht hat das Gericht für die Gewährung des bedingten Strafvollzuges wie bisher eine Prognose über das zukünftige Verhalten des Täters zu stellen.</w:t>
      </w:r>
    </w:p>
    <w:p>
      <w:r>
        <w:rPr>
          <w:b/>
        </w:rPr>
        <w:t>E. 4.2.1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BGE 118 IV 97 E. 2b).</w:t>
      </w:r>
    </w:p>
    <w:p>
      <w:r>
        <w:rPr>
          <w:b/>
        </w:rPr>
        <w:t>E. 4.2.2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(Art. 41 Ziff. 1 aStGB).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 Nach Art. 42 Abs. 1 StGB hat das Gericht neu den Vollzug der Strafe in der Regel aufzuschieben, "wenn eine unbedingte Strafe nicht BGE 134 IV 1 S. 6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1998,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1998, S. 2049; GÜNTER STRATENWERTH, Schweizerisches Strafrecht, Allgemeiner Teil II, 2. Aufl., Bern 2006, § 5 Rz. 38 S. 139).</w:t>
      </w:r>
    </w:p>
    <w:p>
      <w:r>
        <w:rPr>
          <w:b/>
        </w:rPr>
        <w:t>E. 4.2.3</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1998, S. 2050). Bei Art. 42 Abs. 2 StGB gilt demnach die Vermutung einer günstigen Prognose bzw. des Fehlens einer ungünstigen Prognose nicht. Vielmehr kommt der früheren Verurteilung zunächst die Bedeutung eines Indizes für die Befürchtung zu, dass der Täter BGE 134 IV 1 S. 7 weitere Straftaten begehen könnte (STRATENWERTH, Schweizerisches Strafrecht,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(ähnlich: GREINER, a.a.O., S. 101). Das trifft etwa zu, wenn die neuerliche Straftat mit der früheren Verurteilung in keinerlei Zusammenhang steht, oder bei einer besonders positiven Veränderung in den Lebensumständen des Täters (Botschaft 1998, S. 2050; GREINER, a.a.O., S. 101; STRATENWERTH, a.a.O., § 5 Rz. 42 S. 141). Jedenfalls ist bei eindeutig günstiger Prognose der Strafaufschub stets zu gewähren (vgl. STRATENWERTH, a.a.O., § 5 Rz. 42 S. 141). Die Vorschrift von Art. 42 Abs. 2 StGB stellt klar, dass der Rückfall für sich genommen den bedingten Strafvollzug nicht auszuschliessen vermag, im Gegensatz zum früheren Recht (Art. 41 Ziff. 1 Abs. 2 aStGB).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rPr>
          <w:b/>
        </w:rPr>
        <w:t>E. 4.2.4</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4.3</w:t>
      </w:r>
    </w:p>
    <w:p>
      <w:r>
        <w:t>In objektiver Hinsicht setzt der Aufschub einer Freiheitsstrafe einzig eine Untergrenze (mindestens sechs Monate) und eine Obergrenze (höchstens zwei Jahre) voraus, womit die BGE 134 IV 1 S. 8 Zulässigkeitsschranke des bedingten Strafvollzuges von bisher 18 Monaten angehoben wurde.</w:t>
      </w:r>
    </w:p>
    <w:p>
      <w:r>
        <w:rPr>
          <w:b/>
        </w:rPr>
        <w:t>E. 4.4</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1998, S. 2048, 2052).</w:t>
      </w:r>
    </w:p>
    <w:p>
      <w:r>
        <w:rPr>
          <w:b/>
        </w:rPr>
        <w:t>E. 4.5.1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[im Folgenden: Botschaft 2005]; BBl 2005 S. 4689, 4695, 4699 ff.). Insoweit, also im Bereich der leichten Kriminalität, übernimmt sie auch Aufgaben der Generalprävention.</w:t>
      </w:r>
    </w:p>
    <w:p>
      <w:r>
        <w:rPr>
          <w:b/>
        </w:rPr>
        <w:t>E. 4.5.2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 BGE 134 IV 1 S. 9</w:t>
      </w:r>
    </w:p>
    <w:p>
      <w:r>
        <w:rPr>
          <w:b/>
        </w:rPr>
        <w:t>E. 5.1</w:t>
      </w:r>
    </w:p>
    <w:p>
      <w:r>
        <w:t>Mit Art. 43 StGB (dt. "teilbedingte Strafen"; frz. "sursis partiel à l'exécution de la peine; ital. "pene con condizionale parziale") wird für die schweizerische Rechtsordnung ein bislang unbekanntes Institut eingeführt: Das Gericht kann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w:t>
      </w:r>
    </w:p>
    <w:p>
      <w:r>
        <w:rPr>
          <w:b/>
        </w:rPr>
        <w:t>E. 5.2</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1998, S. 2052 f.). 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Cina, Leuthard und de Dardel, AB 2001 N 561 f.; zum Zusammenhang: KARL-LUDWIG KUNZ, Zur Neugestaltung der Sanktionen des Schweizerischen BGE 134 IV 1 S. 10 Erwachsenenstrafrechtes, ZStrR 117/1999 S. 248; ANDRÉ KUHN, Le sursis et le sursis partiel selon le nouveau Code pénal, ZStrR 121/2003 S. 273). 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1998, S. 2309). Im Auftrag der Rechtskommission des Ständerates erarbeitete die Verwaltung in der Folge einen Vorschlag zum sursis partiel ,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Brigitte Tag/ Max Hauri [Hrsg.], Zürich 2006, S. 90 f.).</w:t>
      </w:r>
    </w:p>
    <w:p>
      <w:r>
        <w:rPr>
          <w:b/>
        </w:rPr>
        <w:t>E. 5.3.1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SCHWARZENEGGER/HUG/JOSITSCH, Strafrecht II, 8. Aufl., Zürich 2007, S. 130 ff.; a.M. KUHN, a.a.O., ZStrR 121/2003 S. 273 und Anm. 36). BGE 134 IV 1 S. 11</w:t>
      </w:r>
    </w:p>
    <w:p>
      <w:r>
        <w:rPr>
          <w:b/>
        </w:rPr>
        <w:t>E. 5.3.2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5.3.3</w:t>
      </w:r>
    </w:p>
    <w:p>
      <w:r>
        <w:t>Die Voraussetzung, dass eine teilbedingte Strafe nach Art. 43 StGB notwendig ist, um dem Verschulden des Täters genügend Rechnung zu tragen, d.h. in angemessener Weise (so der französische Wortlaut: de façon appropriée ),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 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5.4</w:t>
      </w:r>
    </w:p>
    <w:p>
      <w:r>
        <w:t>Zu klären ist, ob für Freiheitsstrafen bis zwei Jahre (im überschneidenden Anwendungsbereich von Art. 42/43 StGB) eine BGE 134 IV 1 S. 12 ähnliche Verknüpfung im Hinblick auf anerkannte Strafzwecke zu erfolgen hat.</w:t>
      </w:r>
    </w:p>
    <w:p>
      <w:r>
        <w:rPr>
          <w:b/>
        </w:rPr>
        <w:t>E. 5.4.1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andere Kriterium stärker hervortritt ( BGE 124 IV 246 E. 2b S. 248; BGE 120 IV 1 E. 2b S. 4, je mit Hinweisen).</w:t>
      </w:r>
    </w:p>
    <w:p>
      <w:r>
        <w:rPr>
          <w:b/>
        </w:rPr>
        <w:t>E. 5.4.2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leistet (zum Ganzen MARKUS HANS KNÜSEL, Die teilbedingte Freiheitsstrafe, Diss. Bern 1995, S. 92, 124, 175 ff. und passim). BGE 134 IV 1 S. 13</w:t>
      </w:r>
    </w:p>
    <w:p>
      <w:r>
        <w:rPr>
          <w:b/>
        </w:rPr>
        <w:t>E. 5.4.3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5 Rz. 50 S. 144; vgl. aber ders ., Die Wahl der Sanktionen, insbesondere nach revidiertem AT StGB, in: Strafjustiz und Rechtsstaat, Marcel Alexander Niggli/Nicolas Queloz [Hrsg.],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werden dürfte. Der Strafzweck des Schuldausgleichs (das Vergeltungsprinzip) besagt denn auch nur, dass die Strafe der Grösse der Schuld entsprechen soll, was eine drastische Bestrafung des Täters bei geringem Verschulden verbietet (CLAUS ROXIN, Strafrecht, Allgemeiner Teil, Bd. I, 4. Aufl., München 2006, § 3 Rz. 2 ff., insbes. Rz.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 Ebenso wenig kann massgebend sein, ob die teilweise Vollstreckung der Strafe unter generalpräventiven Gesichtspunkten als geboten erscheint, um andere von der Begehung von Verbrechen oder Vergehen abzuhalten. Eine solche Vorbehaltsklausel, wie sie das BGE 134 IV 1 S. 14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rPr>
          <w:b/>
        </w:rPr>
        <w:t>E. 5.5</w:t>
      </w:r>
    </w:p>
    <w:p>
      <w:r>
        <w:t>Nach den dargelegten Grundsätzen ist der Anwendungsbereich der teilbedingten Freiheitsstrafen im Sinne von Art. 43 StGB zu konkretisieren.</w:t>
      </w:r>
    </w:p>
    <w:p>
      <w:r>
        <w:rPr>
          <w:b/>
        </w:rPr>
        <w:t>E. 5.5.1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Brigitte Tag/Max Hauri [Hrsg.], Zürich 2006, S. 131).</w:t>
      </w:r>
    </w:p>
    <w:p>
      <w:r>
        <w:rPr>
          <w:b/>
        </w:rPr>
        <w:t>E. 5.5.2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Frank Höpfel/Eckart Ratz [Hrsg.], 2. Aufl., Wien 2003, N. 11 zu § 43a Abs. 3). Damit verhält es sich BGE 134 IV 1 S. 15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5.6</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6</w:t>
      </w:r>
    </w:p>
    <w:p>
      <w:r>
        <w:t>Im zu beurteilenden Fall stellt sich die Rechtslage wie folgt dar:</w:t>
      </w:r>
    </w:p>
    <w:p>
      <w:r>
        <w:rPr>
          <w:b/>
        </w:rPr>
        <w:t>E. 6.1</w:t>
      </w:r>
    </w:p>
    <w:p>
      <w:r>
        <w:t>Wie dargelegt bildet der teilbedingte Vollzug bei Freiheitsstrafen im überschneidenden Anwendungsbereich von Art. 42/43 StGB BGE 134 IV 1 S. 16 die Ausnahme, welche nur Anwendung findet, wenn der Aufschub wenigstens eines Teils der Strafe aus spezialpräventiver Sicht erfordert, dass der andere Strafteil unbedingt ausgesprochen wird. Insbesondere in Anbetracht der Tatsache, dass der Beschwerdegegner nicht vorbestraft ist, bestehen vorliegend keine ganz erheblichen Bedenken an dessen Legalbewährung, so dass der teilweise Vollzug der Freiheitsstrafe für die Erhöhung der Bewährungsaussichten nicht unumgänglich erscheint. Vielmehr ist entgegen der Auffassung der Beschwerdeführerin im zu beurteilenden Fall die Gewährung des bedingten Strafvollzugs - allenfalls in Kombination mit einer Verbindungsgeldstrafe bzw. Busse ( Art. 42 Abs. 4 StGB ) - spezialpräventiv ausreichend.</w:t>
      </w:r>
    </w:p>
    <w:p>
      <w:r>
        <w:rPr>
          <w:b/>
        </w:rPr>
        <w:t>E. 6.2</w:t>
      </w:r>
    </w:p>
    <w:p>
      <w:r>
        <w:t>Allerdings hat, wie ausgeführt, bei der Strafenkombination nach Art. 42 Abs. 4 StGB das Hauptgewicht auf der bedingten Freiheitsstrafe zu liegen, während der unbedingten Verbindungsgeldstrafe bzw. Busse nur untergeordnete Bedeutung zukommt. Mit der Verhängung einer unbedingten Geldstrafe in der Höhe von 180 Tagessätzen bzw. eines Viertels der schuldangemessenen Gesamtstrafe hat die Vorinstanz jedoch der Verbindungsstrafe einen zu gewichtigen Stellenwert eingeräumt und damit Art. 42 Abs. 4 StGB unrichtig angewendet.</w:t>
      </w:r>
    </w:p>
    <w:p>
      <w:r>
        <w:rPr>
          <w:b/>
        </w:rPr>
        <w:t>E. 6.3</w:t>
      </w:r>
    </w:p>
    <w:p>
      <w:r>
        <w:t>Im Ergebnis ist die Beschwerde deshalb gutzuheissen und das angefochtene Urteil aufzuheben. Bei ihrer Neubeurteilung wird die Vorinstanz auf der Grundlage der vom Bundesgericht entwickelten Kriterien zu prüfen haben, ob es dem Verschulden entspricht, den Beschwerdegegner zu einer bedingt vollziehbaren Freiheitsstrafe von 24 Monaten zu verurteilen, oder ob es angemessener erscheint, in Anwendung von Art. 42 Abs. 4 StGB eine Freiheitsstrafe von weniger als 24 Monaten, verbunden mit einer (untergeordneten) unbedingten Geldstrafe oder Busse auszusprechen. Dabei muss es sich insgesamt um die dem Verschulden entsprechende Sanktion handeln.</w:t>
      </w:r>
    </w:p>
    <w:p>
      <w:r>
        <w:rPr>
          <w:b/>
        </w:rPr>
        <w:t>E. 6.4</w:t>
      </w:r>
    </w:p>
    <w:p>
      <w:r>
        <w:t>Dem Beschwerdegegner, der eventualiter die Gutheissung der Beschwerde beantragt hat, sind keine Kosten aufzuerlegen.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